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746"/>
      </w:tblGrid>
      <w:tr w:rsidR="00F87A79" w:rsidTr="00F87A79">
        <w:tc>
          <w:tcPr>
            <w:tcW w:w="0" w:type="auto"/>
            <w:tcMar>
              <w:top w:w="240" w:type="dxa"/>
              <w:left w:w="360" w:type="dxa"/>
              <w:bottom w:w="240" w:type="dxa"/>
              <w:right w:w="360" w:type="dxa"/>
            </w:tcMar>
            <w:vAlign w:val="center"/>
            <w:hideMark/>
          </w:tcPr>
          <w:tbl>
            <w:tblPr>
              <w:tblW w:w="5000" w:type="pct"/>
              <w:tblCellMar>
                <w:left w:w="0" w:type="dxa"/>
                <w:right w:w="0" w:type="dxa"/>
              </w:tblCellMar>
              <w:tblLook w:val="04A0" w:firstRow="1" w:lastRow="0" w:firstColumn="1" w:lastColumn="0" w:noHBand="0" w:noVBand="1"/>
            </w:tblPr>
            <w:tblGrid>
              <w:gridCol w:w="3206"/>
              <w:gridCol w:w="5820"/>
            </w:tblGrid>
            <w:tr w:rsidR="00F87A79">
              <w:tc>
                <w:tcPr>
                  <w:tcW w:w="0" w:type="auto"/>
                  <w:vAlign w:val="center"/>
                  <w:hideMark/>
                </w:tcPr>
                <w:p w:rsidR="00F87A79" w:rsidRDefault="00F87A79">
                  <w:pPr>
                    <w:rPr>
                      <w:rFonts w:ascii="Verdana" w:hAnsi="Verdana"/>
                      <w:color w:val="5C5C5C"/>
                      <w:sz w:val="14"/>
                      <w:szCs w:val="14"/>
                    </w:rPr>
                  </w:pPr>
                  <w:r>
                    <w:rPr>
                      <w:rFonts w:ascii="Verdana" w:hAnsi="Verdana"/>
                      <w:noProof/>
                      <w:color w:val="102D7B"/>
                      <w:sz w:val="14"/>
                      <w:szCs w:val="14"/>
                      <w:bdr w:val="none" w:sz="0" w:space="0" w:color="auto" w:frame="1"/>
                    </w:rPr>
                    <w:drawing>
                      <wp:inline distT="0" distB="0" distL="0" distR="0">
                        <wp:extent cx="1123950" cy="276225"/>
                        <wp:effectExtent l="0" t="0" r="0" b="9525"/>
                        <wp:docPr id="5" name="그림 5" descr="XOS_logo_PMS654.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_logo_PMS6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276225"/>
                                </a:xfrm>
                                <a:prstGeom prst="rect">
                                  <a:avLst/>
                                </a:prstGeom>
                                <a:noFill/>
                                <a:ln>
                                  <a:noFill/>
                                </a:ln>
                              </pic:spPr>
                            </pic:pic>
                          </a:graphicData>
                        </a:graphic>
                      </wp:inline>
                    </w:drawing>
                  </w:r>
                </w:p>
              </w:tc>
              <w:tc>
                <w:tcPr>
                  <w:tcW w:w="0" w:type="auto"/>
                  <w:vAlign w:val="center"/>
                  <w:hideMark/>
                </w:tcPr>
                <w:p w:rsidR="00F87A79" w:rsidRDefault="00F87A79">
                  <w:pPr>
                    <w:spacing w:line="216" w:lineRule="atLeast"/>
                    <w:jc w:val="right"/>
                    <w:rPr>
                      <w:rFonts w:ascii="Verdana" w:hAnsi="Verdana"/>
                      <w:color w:val="5C5C5C"/>
                      <w:sz w:val="14"/>
                      <w:szCs w:val="14"/>
                    </w:rPr>
                  </w:pPr>
                  <w:r>
                    <w:rPr>
                      <w:rFonts w:ascii="Verdana" w:hAnsi="Verdana"/>
                      <w:color w:val="5C5C5C"/>
                      <w:sz w:val="14"/>
                      <w:szCs w:val="14"/>
                    </w:rPr>
                    <w:t xml:space="preserve">Tel: +1 518.880.1501 / Email: </w:t>
                  </w:r>
                  <w:hyperlink r:id="rId7" w:history="1">
                    <w:r>
                      <w:rPr>
                        <w:rStyle w:val="a3"/>
                        <w:rFonts w:ascii="Verdana" w:hAnsi="Verdana"/>
                        <w:sz w:val="14"/>
                        <w:szCs w:val="14"/>
                      </w:rPr>
                      <w:t>info@xos.com</w:t>
                    </w:r>
                  </w:hyperlink>
                </w:p>
              </w:tc>
            </w:tr>
          </w:tbl>
          <w:p w:rsidR="00F87A79" w:rsidRDefault="00F87A79">
            <w:pPr>
              <w:rPr>
                <w:rFonts w:ascii="Times New Roman" w:hAnsi="Times New Roman" w:cs="Times New Roman"/>
                <w:sz w:val="20"/>
                <w:szCs w:val="20"/>
              </w:rPr>
            </w:pPr>
          </w:p>
        </w:tc>
      </w:tr>
      <w:tr w:rsidR="00F87A79" w:rsidTr="00F87A79">
        <w:tc>
          <w:tcPr>
            <w:tcW w:w="0" w:type="auto"/>
            <w:vAlign w:val="center"/>
            <w:hideMark/>
          </w:tcPr>
          <w:tbl>
            <w:tblPr>
              <w:tblW w:w="5000" w:type="pct"/>
              <w:tblCellMar>
                <w:left w:w="0" w:type="dxa"/>
                <w:right w:w="0" w:type="dxa"/>
              </w:tblCellMar>
              <w:tblLook w:val="04A0" w:firstRow="1" w:lastRow="0" w:firstColumn="1" w:lastColumn="0" w:noHBand="0" w:noVBand="1"/>
            </w:tblPr>
            <w:tblGrid>
              <w:gridCol w:w="9746"/>
            </w:tblGrid>
            <w:tr w:rsidR="00F87A79">
              <w:tc>
                <w:tcPr>
                  <w:tcW w:w="0" w:type="auto"/>
                  <w:tcBorders>
                    <w:top w:val="single" w:sz="8" w:space="0" w:color="3574E3"/>
                    <w:left w:val="nil"/>
                    <w:bottom w:val="nil"/>
                    <w:right w:val="nil"/>
                  </w:tcBorders>
                  <w:tcMar>
                    <w:top w:w="12" w:type="dxa"/>
                    <w:left w:w="0" w:type="dxa"/>
                    <w:bottom w:w="12" w:type="dxa"/>
                    <w:right w:w="0" w:type="dxa"/>
                  </w:tcMar>
                  <w:vAlign w:val="center"/>
                  <w:hideMark/>
                </w:tcPr>
                <w:p w:rsidR="00F87A79" w:rsidRDefault="00F87A79">
                  <w:pPr>
                    <w:jc w:val="center"/>
                    <w:rPr>
                      <w:rFonts w:ascii="Verdana" w:hAnsi="Verdana"/>
                      <w:color w:val="5C5C5C"/>
                      <w:sz w:val="14"/>
                      <w:szCs w:val="14"/>
                    </w:rPr>
                  </w:pPr>
                  <w:r>
                    <w:rPr>
                      <w:rFonts w:ascii="Verdana" w:hAnsi="Verdana"/>
                      <w:noProof/>
                      <w:color w:val="5C5C5C"/>
                      <w:sz w:val="14"/>
                      <w:szCs w:val="14"/>
                    </w:rPr>
                    <w:drawing>
                      <wp:inline distT="0" distB="0" distL="0" distR="0">
                        <wp:extent cx="6096000" cy="1104900"/>
                        <wp:effectExtent l="0" t="0" r="0" b="0"/>
                        <wp:docPr id="4" name="그림 4" descr="newsletter-image-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letter-image-1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104900"/>
                                </a:xfrm>
                                <a:prstGeom prst="rect">
                                  <a:avLst/>
                                </a:prstGeom>
                                <a:noFill/>
                                <a:ln>
                                  <a:noFill/>
                                </a:ln>
                              </pic:spPr>
                            </pic:pic>
                          </a:graphicData>
                        </a:graphic>
                      </wp:inline>
                    </w:drawing>
                  </w:r>
                </w:p>
              </w:tc>
            </w:tr>
          </w:tbl>
          <w:p w:rsidR="00F87A79" w:rsidRDefault="00F87A79">
            <w:pPr>
              <w:rPr>
                <w:rFonts w:ascii="Times New Roman" w:hAnsi="Times New Roman" w:cs="Times New Roman"/>
                <w:sz w:val="20"/>
                <w:szCs w:val="20"/>
              </w:rPr>
            </w:pPr>
          </w:p>
        </w:tc>
      </w:tr>
      <w:tr w:rsidR="00F87A79" w:rsidTr="00F87A79">
        <w:tc>
          <w:tcPr>
            <w:tcW w:w="0" w:type="auto"/>
            <w:tcBorders>
              <w:top w:val="single" w:sz="48" w:space="0" w:color="3574E3"/>
              <w:left w:val="nil"/>
              <w:bottom w:val="nil"/>
              <w:right w:val="nil"/>
            </w:tcBorders>
            <w:vAlign w:val="center"/>
            <w:hideMark/>
          </w:tcPr>
          <w:p w:rsidR="00F87A79" w:rsidRDefault="00F87A79">
            <w:pPr>
              <w:rPr>
                <w:rFonts w:ascii="Verdana" w:hAnsi="Verdana"/>
                <w:sz w:val="14"/>
                <w:szCs w:val="14"/>
              </w:rPr>
            </w:pPr>
            <w:r>
              <w:rPr>
                <w:rFonts w:ascii="Verdana" w:hAnsi="Verdana"/>
                <w:noProof/>
                <w:sz w:val="14"/>
                <w:szCs w:val="14"/>
              </w:rPr>
              <w:drawing>
                <wp:inline distT="0" distB="0" distL="0" distR="0">
                  <wp:extent cx="6096000" cy="152400"/>
                  <wp:effectExtent l="0" t="0" r="0" b="0"/>
                  <wp:docPr id="3" name="그림 3" descr="http://cdn1.hubspot.com/hub/70580/dove-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hubspot.com/hub/70580/dove-shad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52400"/>
                          </a:xfrm>
                          <a:prstGeom prst="rect">
                            <a:avLst/>
                          </a:prstGeom>
                          <a:noFill/>
                          <a:ln>
                            <a:noFill/>
                          </a:ln>
                        </pic:spPr>
                      </pic:pic>
                    </a:graphicData>
                  </a:graphic>
                </wp:inline>
              </w:drawing>
            </w:r>
          </w:p>
        </w:tc>
      </w:tr>
      <w:tr w:rsidR="00F87A79" w:rsidTr="00F87A79">
        <w:tc>
          <w:tcPr>
            <w:tcW w:w="0" w:type="auto"/>
            <w:tcMar>
              <w:top w:w="0" w:type="dxa"/>
              <w:left w:w="360" w:type="dxa"/>
              <w:bottom w:w="0" w:type="dxa"/>
              <w:right w:w="360" w:type="dxa"/>
            </w:tcMar>
            <w:vAlign w:val="center"/>
            <w:hideMark/>
          </w:tcPr>
          <w:tbl>
            <w:tblPr>
              <w:tblW w:w="5000" w:type="pct"/>
              <w:tblCellMar>
                <w:left w:w="0" w:type="dxa"/>
                <w:right w:w="0" w:type="dxa"/>
              </w:tblCellMar>
              <w:tblLook w:val="04A0" w:firstRow="1" w:lastRow="0" w:firstColumn="1" w:lastColumn="0" w:noHBand="0" w:noVBand="1"/>
            </w:tblPr>
            <w:tblGrid>
              <w:gridCol w:w="9026"/>
            </w:tblGrid>
            <w:tr w:rsidR="00F87A79">
              <w:tc>
                <w:tcPr>
                  <w:tcW w:w="0" w:type="auto"/>
                  <w:tcMar>
                    <w:top w:w="300" w:type="dxa"/>
                    <w:left w:w="0" w:type="dxa"/>
                    <w:bottom w:w="240" w:type="dxa"/>
                    <w:right w:w="0" w:type="dxa"/>
                  </w:tcMar>
                  <w:vAlign w:val="center"/>
                  <w:hideMark/>
                </w:tcPr>
                <w:p w:rsidR="00F87A79" w:rsidRDefault="00F87A79">
                  <w:pPr>
                    <w:pStyle w:val="1"/>
                    <w:spacing w:before="0" w:beforeAutospacing="0" w:after="60" w:afterAutospacing="0" w:line="264" w:lineRule="auto"/>
                    <w:rPr>
                      <w:rFonts w:ascii="Verdana" w:hAnsi="Verdana"/>
                      <w:b w:val="0"/>
                      <w:bCs w:val="0"/>
                      <w:sz w:val="25"/>
                      <w:szCs w:val="25"/>
                    </w:rPr>
                  </w:pPr>
                  <w:r>
                    <w:rPr>
                      <w:rFonts w:ascii="Verdana" w:hAnsi="Verdana"/>
                      <w:b w:val="0"/>
                      <w:bCs w:val="0"/>
                      <w:sz w:val="25"/>
                      <w:szCs w:val="25"/>
                    </w:rPr>
                    <w:t>Children's Jewelry: Testing with HDXRF</w:t>
                  </w:r>
                </w:p>
                <w:p w:rsidR="00F87A79" w:rsidRDefault="00F87A79">
                  <w:pPr>
                    <w:spacing w:line="288" w:lineRule="auto"/>
                    <w:rPr>
                      <w:rFonts w:ascii="Verdana" w:hAnsi="Verdana"/>
                      <w:color w:val="5C5C5C"/>
                      <w:sz w:val="17"/>
                      <w:szCs w:val="17"/>
                    </w:rPr>
                  </w:pPr>
                  <w:r>
                    <w:rPr>
                      <w:rFonts w:ascii="Verdana" w:hAnsi="Verdana"/>
                      <w:color w:val="5C5C5C"/>
                      <w:sz w:val="17"/>
                      <w:szCs w:val="17"/>
                    </w:rPr>
                    <w:t>CPSC Approved Quantification</w:t>
                  </w:r>
                </w:p>
              </w:tc>
            </w:tr>
          </w:tbl>
          <w:p w:rsidR="00F87A79" w:rsidRDefault="00F87A79">
            <w:pPr>
              <w:rPr>
                <w:rFonts w:ascii="Times New Roman" w:hAnsi="Times New Roman" w:cs="Times New Roman"/>
                <w:sz w:val="20"/>
                <w:szCs w:val="20"/>
              </w:rPr>
            </w:pPr>
          </w:p>
        </w:tc>
      </w:tr>
      <w:tr w:rsidR="00F87A79" w:rsidTr="00F87A79">
        <w:tc>
          <w:tcPr>
            <w:tcW w:w="0" w:type="auto"/>
            <w:tcMar>
              <w:top w:w="0" w:type="dxa"/>
              <w:left w:w="360" w:type="dxa"/>
              <w:bottom w:w="0" w:type="dxa"/>
              <w:right w:w="360" w:type="dxa"/>
            </w:tcMar>
            <w:vAlign w:val="center"/>
            <w:hideMark/>
          </w:tcPr>
          <w:tbl>
            <w:tblPr>
              <w:tblW w:w="5000" w:type="pct"/>
              <w:tblCellMar>
                <w:left w:w="0" w:type="dxa"/>
                <w:right w:w="0" w:type="dxa"/>
              </w:tblCellMar>
              <w:tblLook w:val="04A0" w:firstRow="1" w:lastRow="0" w:firstColumn="1" w:lastColumn="0" w:noHBand="0" w:noVBand="1"/>
            </w:tblPr>
            <w:tblGrid>
              <w:gridCol w:w="9026"/>
            </w:tblGrid>
            <w:tr w:rsidR="00F87A79">
              <w:tc>
                <w:tcPr>
                  <w:tcW w:w="0" w:type="auto"/>
                  <w:tcBorders>
                    <w:top w:val="single" w:sz="8" w:space="0" w:color="F2F2F2"/>
                    <w:left w:val="nil"/>
                    <w:bottom w:val="nil"/>
                    <w:right w:val="nil"/>
                  </w:tcBorders>
                  <w:tcMar>
                    <w:top w:w="120" w:type="dxa"/>
                    <w:left w:w="0" w:type="dxa"/>
                    <w:bottom w:w="12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3064"/>
                    <w:gridCol w:w="5962"/>
                  </w:tblGrid>
                  <w:tr w:rsidR="00F87A79">
                    <w:tc>
                      <w:tcPr>
                        <w:tcW w:w="2160" w:type="dxa"/>
                        <w:tcMar>
                          <w:top w:w="120" w:type="dxa"/>
                          <w:left w:w="0" w:type="dxa"/>
                          <w:bottom w:w="120" w:type="dxa"/>
                          <w:right w:w="240" w:type="dxa"/>
                        </w:tcMar>
                        <w:hideMark/>
                      </w:tcPr>
                      <w:tbl>
                        <w:tblPr>
                          <w:tblW w:w="5000" w:type="pct"/>
                          <w:tblCellMar>
                            <w:left w:w="0" w:type="dxa"/>
                            <w:right w:w="0" w:type="dxa"/>
                          </w:tblCellMar>
                          <w:tblLook w:val="04A0" w:firstRow="1" w:lastRow="0" w:firstColumn="1" w:lastColumn="0" w:noHBand="0" w:noVBand="1"/>
                        </w:tblPr>
                        <w:tblGrid>
                          <w:gridCol w:w="2824"/>
                        </w:tblGrid>
                        <w:tr w:rsidR="00F87A79" w:rsidRPr="00F87A79">
                          <w:tc>
                            <w:tcPr>
                              <w:tcW w:w="0" w:type="auto"/>
                              <w:shd w:val="clear" w:color="auto" w:fill="F9F9F9"/>
                              <w:tcMar>
                                <w:top w:w="12" w:type="dxa"/>
                                <w:left w:w="180" w:type="dxa"/>
                                <w:bottom w:w="12" w:type="dxa"/>
                                <w:right w:w="180" w:type="dxa"/>
                              </w:tcMar>
                              <w:vAlign w:val="center"/>
                              <w:hideMark/>
                            </w:tcPr>
                            <w:p w:rsidR="00F87A79" w:rsidRPr="00F87A79" w:rsidRDefault="00F87A79">
                              <w:pPr>
                                <w:spacing w:before="240" w:after="240" w:line="350" w:lineRule="auto"/>
                                <w:rPr>
                                  <w:rFonts w:ascii="Verdana" w:hAnsi="Verdana"/>
                                  <w:color w:val="5C5C5C"/>
                                  <w:sz w:val="20"/>
                                  <w:szCs w:val="20"/>
                                </w:rPr>
                              </w:pPr>
                              <w:r w:rsidRPr="00F87A79">
                                <w:rPr>
                                  <w:rStyle w:val="a4"/>
                                  <w:rFonts w:ascii="Verdana" w:hAnsi="Verdana"/>
                                  <w:color w:val="5C5C5C"/>
                                  <w:sz w:val="20"/>
                                  <w:szCs w:val="20"/>
                                </w:rPr>
                                <w:t>In this issue:</w:t>
                              </w:r>
                            </w:p>
                            <w:p w:rsidR="00F87A79" w:rsidRPr="00F87A79" w:rsidRDefault="00F87A79">
                              <w:pPr>
                                <w:spacing w:before="240" w:after="240" w:line="350" w:lineRule="auto"/>
                                <w:rPr>
                                  <w:rFonts w:ascii="Verdana" w:hAnsi="Verdana"/>
                                  <w:color w:val="5C5C5C"/>
                                  <w:sz w:val="20"/>
                                  <w:szCs w:val="20"/>
                                </w:rPr>
                              </w:pPr>
                              <w:r w:rsidRPr="00F87A79">
                                <w:rPr>
                                  <w:rFonts w:ascii="Verdana" w:hAnsi="Verdana"/>
                                  <w:color w:val="5C5C5C"/>
                                  <w:sz w:val="20"/>
                                  <w:szCs w:val="20"/>
                                </w:rPr>
                                <w:t>Testing Jewelry with HDXRF</w:t>
                              </w:r>
                            </w:p>
                            <w:p w:rsidR="00F87A79" w:rsidRPr="00F87A79" w:rsidRDefault="00F87A79">
                              <w:pPr>
                                <w:spacing w:before="240" w:after="240" w:line="350" w:lineRule="auto"/>
                                <w:rPr>
                                  <w:rFonts w:ascii="Verdana" w:hAnsi="Verdana"/>
                                  <w:color w:val="5C5C5C"/>
                                  <w:sz w:val="20"/>
                                  <w:szCs w:val="20"/>
                                </w:rPr>
                              </w:pPr>
                              <w:r w:rsidRPr="00F87A79">
                                <w:rPr>
                                  <w:rFonts w:ascii="Verdana" w:hAnsi="Verdana"/>
                                  <w:color w:val="5C5C5C"/>
                                  <w:sz w:val="20"/>
                                  <w:szCs w:val="20"/>
                                </w:rPr>
                                <w:t>EN71-3 Compliance Screening</w:t>
                              </w:r>
                            </w:p>
                            <w:p w:rsidR="00F87A79" w:rsidRPr="00F87A79" w:rsidRDefault="00F87A79">
                              <w:pPr>
                                <w:spacing w:before="240" w:after="240" w:line="350" w:lineRule="auto"/>
                                <w:rPr>
                                  <w:rFonts w:ascii="Verdana" w:hAnsi="Verdana"/>
                                  <w:color w:val="5C5C5C"/>
                                  <w:sz w:val="20"/>
                                  <w:szCs w:val="20"/>
                                </w:rPr>
                              </w:pPr>
                              <w:r w:rsidRPr="00F87A79">
                                <w:rPr>
                                  <w:rFonts w:ascii="Verdana" w:hAnsi="Verdana"/>
                                  <w:color w:val="5C5C5C"/>
                                  <w:sz w:val="20"/>
                                  <w:szCs w:val="20"/>
                                </w:rPr>
                                <w:t>How to Test Thin Coated Samples</w:t>
                              </w:r>
                            </w:p>
                          </w:tc>
                        </w:tr>
                        <w:tr w:rsidR="00F87A79" w:rsidRPr="00F87A79">
                          <w:tc>
                            <w:tcPr>
                              <w:tcW w:w="0" w:type="auto"/>
                              <w:vAlign w:val="center"/>
                              <w:hideMark/>
                            </w:tcPr>
                            <w:tbl>
                              <w:tblPr>
                                <w:tblW w:w="5000" w:type="pct"/>
                                <w:tblCellMar>
                                  <w:left w:w="0" w:type="dxa"/>
                                  <w:right w:w="0" w:type="dxa"/>
                                </w:tblCellMar>
                                <w:tblLook w:val="04A0" w:firstRow="1" w:lastRow="0" w:firstColumn="1" w:lastColumn="0" w:noHBand="0" w:noVBand="1"/>
                              </w:tblPr>
                              <w:tblGrid>
                                <w:gridCol w:w="2824"/>
                              </w:tblGrid>
                              <w:tr w:rsidR="00F87A79" w:rsidRPr="00F87A79">
                                <w:trPr>
                                  <w:trHeight w:val="216"/>
                                </w:trPr>
                                <w:tc>
                                  <w:tcPr>
                                    <w:tcW w:w="0" w:type="auto"/>
                                    <w:shd w:val="clear" w:color="auto" w:fill="FFFFFF"/>
                                    <w:tcMar>
                                      <w:top w:w="12" w:type="dxa"/>
                                      <w:left w:w="0" w:type="dxa"/>
                                      <w:bottom w:w="12" w:type="dxa"/>
                                      <w:right w:w="0" w:type="dxa"/>
                                    </w:tcMar>
                                    <w:vAlign w:val="center"/>
                                    <w:hideMark/>
                                  </w:tcPr>
                                  <w:p w:rsidR="00F87A79" w:rsidRPr="00F87A79" w:rsidRDefault="00F87A79">
                                    <w:pPr>
                                      <w:rPr>
                                        <w:rFonts w:ascii="Times New Roman" w:hAnsi="Times New Roman" w:cs="Times New Roman"/>
                                        <w:sz w:val="20"/>
                                        <w:szCs w:val="20"/>
                                      </w:rPr>
                                    </w:pPr>
                                  </w:p>
                                </w:tc>
                              </w:tr>
                              <w:tr w:rsidR="00F87A79" w:rsidRPr="00F87A79">
                                <w:tc>
                                  <w:tcPr>
                                    <w:tcW w:w="0" w:type="auto"/>
                                    <w:shd w:val="clear" w:color="auto" w:fill="F9F9F9"/>
                                    <w:tcMar>
                                      <w:top w:w="12" w:type="dxa"/>
                                      <w:left w:w="180" w:type="dxa"/>
                                      <w:bottom w:w="12" w:type="dxa"/>
                                      <w:right w:w="180" w:type="dxa"/>
                                    </w:tcMar>
                                    <w:vAlign w:val="center"/>
                                    <w:hideMark/>
                                  </w:tcPr>
                                  <w:p w:rsidR="00F87A79" w:rsidRPr="00F87A79" w:rsidRDefault="00F87A79">
                                    <w:pPr>
                                      <w:spacing w:before="240" w:after="240" w:line="350" w:lineRule="auto"/>
                                      <w:rPr>
                                        <w:rFonts w:ascii="Verdana" w:hAnsi="Verdana"/>
                                        <w:color w:val="5C5C5C"/>
                                        <w:sz w:val="20"/>
                                        <w:szCs w:val="20"/>
                                      </w:rPr>
                                    </w:pPr>
                                    <w:r w:rsidRPr="00F87A79">
                                      <w:rPr>
                                        <w:rFonts w:ascii="Verdana" w:hAnsi="Verdana"/>
                                        <w:color w:val="5C5C5C"/>
                                        <w:sz w:val="20"/>
                                        <w:szCs w:val="20"/>
                                      </w:rPr>
                                      <w:t xml:space="preserve">See our HD Mobile and HD Prime Analyzer </w:t>
                                    </w:r>
                                    <w:hyperlink r:id="rId10" w:history="1">
                                      <w:r w:rsidRPr="00F87A79">
                                        <w:rPr>
                                          <w:rStyle w:val="a3"/>
                                          <w:rFonts w:ascii="Verdana" w:hAnsi="Verdana"/>
                                          <w:b/>
                                          <w:bCs/>
                                          <w:sz w:val="20"/>
                                          <w:szCs w:val="20"/>
                                        </w:rPr>
                                        <w:t>videos</w:t>
                                      </w:r>
                                    </w:hyperlink>
                                    <w:r w:rsidRPr="00F87A79">
                                      <w:rPr>
                                        <w:rFonts w:ascii="Verdana" w:hAnsi="Verdana"/>
                                        <w:color w:val="5C5C5C"/>
                                        <w:sz w:val="20"/>
                                        <w:szCs w:val="20"/>
                                      </w:rPr>
                                      <w:t>.</w:t>
                                    </w:r>
                                  </w:p>
                                  <w:p w:rsidR="00F87A79" w:rsidRPr="00F87A79" w:rsidRDefault="00F87A79">
                                    <w:pPr>
                                      <w:spacing w:before="240" w:after="240" w:line="350" w:lineRule="auto"/>
                                      <w:rPr>
                                        <w:rFonts w:ascii="Verdana" w:hAnsi="Verdana"/>
                                        <w:color w:val="5C5C5C"/>
                                        <w:sz w:val="20"/>
                                        <w:szCs w:val="20"/>
                                      </w:rPr>
                                    </w:pPr>
                                    <w:r w:rsidRPr="00F87A79">
                                      <w:rPr>
                                        <w:rFonts w:ascii="Verdana" w:hAnsi="Verdana"/>
                                        <w:color w:val="5C5C5C"/>
                                        <w:sz w:val="20"/>
                                        <w:szCs w:val="20"/>
                                      </w:rPr>
                                      <w:t>Access </w:t>
                                    </w:r>
                                    <w:hyperlink r:id="rId11" w:history="1">
                                      <w:r w:rsidRPr="00F87A79">
                                        <w:rPr>
                                          <w:rStyle w:val="a3"/>
                                          <w:rFonts w:ascii="Verdana" w:hAnsi="Verdana"/>
                                          <w:b/>
                                          <w:bCs/>
                                          <w:sz w:val="20"/>
                                          <w:szCs w:val="20"/>
                                        </w:rPr>
                                        <w:t>recorded webinars</w:t>
                                      </w:r>
                                    </w:hyperlink>
                                    <w:r w:rsidRPr="00F87A79">
                                      <w:rPr>
                                        <w:rFonts w:ascii="Verdana" w:hAnsi="Verdana"/>
                                        <w:color w:val="5C5C5C"/>
                                        <w:sz w:val="20"/>
                                        <w:szCs w:val="20"/>
                                      </w:rPr>
                                      <w:t> about rapid screening of elements at regulatory levels using HDXRF.</w:t>
                                    </w:r>
                                  </w:p>
                                </w:tc>
                              </w:tr>
                            </w:tbl>
                            <w:p w:rsidR="00F87A79" w:rsidRPr="00F87A79" w:rsidRDefault="00F87A79">
                              <w:pPr>
                                <w:rPr>
                                  <w:rFonts w:ascii="Times New Roman" w:hAnsi="Times New Roman" w:cs="Times New Roman"/>
                                  <w:sz w:val="20"/>
                                  <w:szCs w:val="20"/>
                                </w:rPr>
                              </w:pPr>
                            </w:p>
                          </w:tc>
                        </w:tr>
                        <w:tr w:rsidR="00F87A79" w:rsidRPr="00F87A79">
                          <w:tc>
                            <w:tcPr>
                              <w:tcW w:w="0" w:type="auto"/>
                              <w:vAlign w:val="center"/>
                              <w:hideMark/>
                            </w:tcPr>
                            <w:tbl>
                              <w:tblPr>
                                <w:tblW w:w="5000" w:type="pct"/>
                                <w:tblCellMar>
                                  <w:left w:w="0" w:type="dxa"/>
                                  <w:right w:w="0" w:type="dxa"/>
                                </w:tblCellMar>
                                <w:tblLook w:val="04A0" w:firstRow="1" w:lastRow="0" w:firstColumn="1" w:lastColumn="0" w:noHBand="0" w:noVBand="1"/>
                              </w:tblPr>
                              <w:tblGrid>
                                <w:gridCol w:w="2824"/>
                              </w:tblGrid>
                              <w:tr w:rsidR="00F87A79" w:rsidRPr="00F87A79">
                                <w:trPr>
                                  <w:trHeight w:val="216"/>
                                </w:trPr>
                                <w:tc>
                                  <w:tcPr>
                                    <w:tcW w:w="0" w:type="auto"/>
                                    <w:shd w:val="clear" w:color="auto" w:fill="FFFFFF"/>
                                    <w:tcMar>
                                      <w:top w:w="12" w:type="dxa"/>
                                      <w:left w:w="0" w:type="dxa"/>
                                      <w:bottom w:w="12" w:type="dxa"/>
                                      <w:right w:w="0" w:type="dxa"/>
                                    </w:tcMar>
                                    <w:vAlign w:val="center"/>
                                    <w:hideMark/>
                                  </w:tcPr>
                                  <w:p w:rsidR="00F87A79" w:rsidRPr="00F87A79" w:rsidRDefault="00F87A79">
                                    <w:pPr>
                                      <w:rPr>
                                        <w:rFonts w:ascii="Times New Roman" w:hAnsi="Times New Roman" w:cs="Times New Roman"/>
                                        <w:sz w:val="20"/>
                                        <w:szCs w:val="20"/>
                                      </w:rPr>
                                    </w:pPr>
                                  </w:p>
                                </w:tc>
                              </w:tr>
                              <w:tr w:rsidR="00F87A79" w:rsidRPr="00F87A79">
                                <w:tc>
                                  <w:tcPr>
                                    <w:tcW w:w="0" w:type="auto"/>
                                    <w:shd w:val="clear" w:color="auto" w:fill="F9F9F9"/>
                                    <w:tcMar>
                                      <w:top w:w="12" w:type="dxa"/>
                                      <w:left w:w="180" w:type="dxa"/>
                                      <w:bottom w:w="12" w:type="dxa"/>
                                      <w:right w:w="180" w:type="dxa"/>
                                    </w:tcMar>
                                    <w:vAlign w:val="center"/>
                                    <w:hideMark/>
                                  </w:tcPr>
                                  <w:p w:rsidR="00F87A79" w:rsidRPr="00F87A79" w:rsidRDefault="00F87A79">
                                    <w:pPr>
                                      <w:spacing w:before="240" w:after="240" w:line="350" w:lineRule="auto"/>
                                      <w:rPr>
                                        <w:rFonts w:ascii="Verdana" w:hAnsi="Verdana"/>
                                        <w:color w:val="5C5C5C"/>
                                        <w:sz w:val="20"/>
                                        <w:szCs w:val="20"/>
                                      </w:rPr>
                                    </w:pPr>
                                    <w:r w:rsidRPr="00F87A79">
                                      <w:rPr>
                                        <w:rFonts w:ascii="Verdana" w:hAnsi="Verdana"/>
                                        <w:color w:val="5C5C5C"/>
                                        <w:sz w:val="20"/>
                                        <w:szCs w:val="20"/>
                                      </w:rPr>
                                      <w:t>Visit us at:</w:t>
                                    </w:r>
                                  </w:p>
                                  <w:p w:rsidR="00F87A79" w:rsidRPr="00F87A79" w:rsidRDefault="00F87A79">
                                    <w:pPr>
                                      <w:spacing w:before="240" w:after="240" w:line="240" w:lineRule="atLeast"/>
                                      <w:rPr>
                                        <w:rFonts w:ascii="Verdana" w:hAnsi="Verdana"/>
                                        <w:color w:val="5C5C5C"/>
                                        <w:sz w:val="20"/>
                                        <w:szCs w:val="20"/>
                                      </w:rPr>
                                    </w:pPr>
                                    <w:hyperlink r:id="rId12" w:history="1">
                                      <w:r w:rsidRPr="00F87A79">
                                        <w:rPr>
                                          <w:rStyle w:val="a3"/>
                                          <w:rFonts w:ascii="Verdana" w:hAnsi="Verdana"/>
                                          <w:b/>
                                          <w:bCs/>
                                          <w:sz w:val="20"/>
                                          <w:szCs w:val="20"/>
                                        </w:rPr>
                                        <w:t>Toy Fair</w:t>
                                      </w:r>
                                    </w:hyperlink>
                                    <w:r w:rsidRPr="00F87A79">
                                      <w:rPr>
                                        <w:rStyle w:val="a4"/>
                                        <w:rFonts w:ascii="Verdana" w:hAnsi="Verdana"/>
                                        <w:color w:val="5C5C5C"/>
                                        <w:sz w:val="20"/>
                                        <w:szCs w:val="20"/>
                                      </w:rPr>
                                      <w:t> </w:t>
                                    </w:r>
                                    <w:r w:rsidRPr="00F87A79">
                                      <w:rPr>
                                        <w:rFonts w:ascii="Verdana" w:hAnsi="Verdana"/>
                                        <w:color w:val="5C5C5C"/>
                                        <w:sz w:val="20"/>
                                        <w:szCs w:val="20"/>
                                      </w:rPr>
                                      <w:br/>
                                    </w:r>
                                    <w:r w:rsidRPr="00F87A79">
                                      <w:rPr>
                                        <w:rFonts w:ascii="Verdana" w:hAnsi="Verdana"/>
                                        <w:color w:val="5C5C5C"/>
                                        <w:sz w:val="20"/>
                                        <w:szCs w:val="20"/>
                                      </w:rPr>
                                      <w:lastRenderedPageBreak/>
                                      <w:t xml:space="preserve">(Toy Industry Association) </w:t>
                                    </w:r>
                                    <w:r w:rsidRPr="00F87A79">
                                      <w:rPr>
                                        <w:rFonts w:ascii="Verdana" w:hAnsi="Verdana"/>
                                        <w:color w:val="5C5C5C"/>
                                        <w:sz w:val="20"/>
                                        <w:szCs w:val="20"/>
                                      </w:rPr>
                                      <w:br/>
                                      <w:t xml:space="preserve">Jacob K. </w:t>
                                    </w:r>
                                    <w:proofErr w:type="spellStart"/>
                                    <w:r w:rsidRPr="00F87A79">
                                      <w:rPr>
                                        <w:rFonts w:ascii="Verdana" w:hAnsi="Verdana"/>
                                        <w:color w:val="5C5C5C"/>
                                        <w:sz w:val="20"/>
                                        <w:szCs w:val="20"/>
                                      </w:rPr>
                                      <w:t>Javits</w:t>
                                    </w:r>
                                    <w:proofErr w:type="spellEnd"/>
                                    <w:r w:rsidRPr="00F87A79">
                                      <w:rPr>
                                        <w:rFonts w:ascii="Verdana" w:hAnsi="Verdana"/>
                                        <w:color w:val="5C5C5C"/>
                                        <w:sz w:val="20"/>
                                        <w:szCs w:val="20"/>
                                      </w:rPr>
                                      <w:t xml:space="preserve"> Convention Center</w:t>
                                    </w:r>
                                    <w:r w:rsidRPr="00F87A79">
                                      <w:rPr>
                                        <w:rFonts w:ascii="Verdana" w:hAnsi="Verdana"/>
                                        <w:color w:val="5C5C5C"/>
                                        <w:sz w:val="20"/>
                                        <w:szCs w:val="20"/>
                                      </w:rPr>
                                      <w:br/>
                                      <w:t xml:space="preserve">Booth #5345 </w:t>
                                    </w:r>
                                    <w:r w:rsidRPr="00F87A79">
                                      <w:rPr>
                                        <w:rFonts w:ascii="Verdana" w:hAnsi="Verdana"/>
                                        <w:color w:val="5C5C5C"/>
                                        <w:sz w:val="20"/>
                                        <w:szCs w:val="20"/>
                                      </w:rPr>
                                      <w:br/>
                                      <w:t xml:space="preserve">New York, NY </w:t>
                                    </w:r>
                                    <w:r w:rsidRPr="00F87A79">
                                      <w:rPr>
                                        <w:rFonts w:ascii="Verdana" w:hAnsi="Verdana"/>
                                        <w:color w:val="5C5C5C"/>
                                        <w:sz w:val="20"/>
                                        <w:szCs w:val="20"/>
                                      </w:rPr>
                                      <w:br/>
                                      <w:t>February 14-17, 2015</w:t>
                                    </w:r>
                                  </w:p>
                                  <w:p w:rsidR="00F87A79" w:rsidRPr="00F87A79" w:rsidRDefault="00F87A79">
                                    <w:pPr>
                                      <w:spacing w:before="240" w:after="240" w:line="240" w:lineRule="atLeast"/>
                                      <w:rPr>
                                        <w:rFonts w:ascii="Verdana" w:hAnsi="Verdana"/>
                                        <w:color w:val="5C5C5C"/>
                                        <w:sz w:val="20"/>
                                        <w:szCs w:val="20"/>
                                      </w:rPr>
                                    </w:pPr>
                                    <w:hyperlink r:id="rId13" w:history="1">
                                      <w:r w:rsidRPr="00F87A79">
                                        <w:rPr>
                                          <w:rStyle w:val="a3"/>
                                          <w:rFonts w:ascii="Verdana" w:hAnsi="Verdana"/>
                                          <w:b/>
                                          <w:bCs/>
                                          <w:sz w:val="20"/>
                                          <w:szCs w:val="20"/>
                                        </w:rPr>
                                        <w:t>ICPHSO Annual Meeting</w:t>
                                      </w:r>
                                    </w:hyperlink>
                                    <w:r w:rsidRPr="00F87A79">
                                      <w:rPr>
                                        <w:rFonts w:ascii="Verdana" w:hAnsi="Verdana"/>
                                        <w:b/>
                                        <w:bCs/>
                                        <w:color w:val="5C5C5C"/>
                                        <w:sz w:val="20"/>
                                        <w:szCs w:val="20"/>
                                      </w:rPr>
                                      <w:br/>
                                    </w:r>
                                    <w:r w:rsidRPr="00F87A79">
                                      <w:rPr>
                                        <w:rFonts w:ascii="Verdana" w:hAnsi="Verdana"/>
                                        <w:color w:val="5C5C5C"/>
                                        <w:sz w:val="20"/>
                                        <w:szCs w:val="20"/>
                                      </w:rPr>
                                      <w:t>Orlando, Florida</w:t>
                                    </w:r>
                                    <w:r w:rsidRPr="00F87A79">
                                      <w:rPr>
                                        <w:rFonts w:ascii="Verdana" w:hAnsi="Verdana"/>
                                        <w:color w:val="5C5C5C"/>
                                        <w:sz w:val="20"/>
                                        <w:szCs w:val="20"/>
                                      </w:rPr>
                                      <w:br/>
                                      <w:t>February 23-26, 2015</w:t>
                                    </w:r>
                                  </w:p>
                                </w:tc>
                              </w:tr>
                            </w:tbl>
                            <w:p w:rsidR="00F87A79" w:rsidRPr="00F87A79" w:rsidRDefault="00F87A79">
                              <w:pPr>
                                <w:rPr>
                                  <w:rFonts w:ascii="Times New Roman" w:hAnsi="Times New Roman" w:cs="Times New Roman"/>
                                  <w:sz w:val="20"/>
                                  <w:szCs w:val="20"/>
                                </w:rPr>
                              </w:pPr>
                            </w:p>
                          </w:tc>
                        </w:tr>
                      </w:tbl>
                      <w:p w:rsidR="00F87A79" w:rsidRPr="00F87A79" w:rsidRDefault="00F87A79">
                        <w:pPr>
                          <w:rPr>
                            <w:rFonts w:ascii="Times New Roman" w:hAnsi="Times New Roman" w:cs="Times New Roman"/>
                            <w:sz w:val="20"/>
                            <w:szCs w:val="20"/>
                          </w:rPr>
                        </w:pPr>
                      </w:p>
                    </w:tc>
                    <w:tc>
                      <w:tcPr>
                        <w:tcW w:w="4560" w:type="dxa"/>
                        <w:hideMark/>
                      </w:tcPr>
                      <w:p w:rsidR="00F87A79" w:rsidRPr="00F87A79" w:rsidRDefault="00F87A79">
                        <w:pPr>
                          <w:spacing w:before="240" w:after="240" w:line="302" w:lineRule="auto"/>
                          <w:rPr>
                            <w:rFonts w:ascii="Verdana" w:hAnsi="Verdana"/>
                            <w:color w:val="5C5C5C"/>
                            <w:sz w:val="20"/>
                            <w:szCs w:val="20"/>
                          </w:rPr>
                        </w:pPr>
                        <w:r w:rsidRPr="00F87A79">
                          <w:rPr>
                            <w:noProof/>
                            <w:sz w:val="20"/>
                            <w:szCs w:val="20"/>
                          </w:rPr>
                          <w:lastRenderedPageBreak/>
                          <w:drawing>
                            <wp:anchor distT="0" distB="0" distL="0" distR="0" simplePos="0" relativeHeight="251659264" behindDoc="0" locked="0" layoutInCell="1" allowOverlap="0" wp14:anchorId="3B53D7C1" wp14:editId="1A88DB43">
                              <wp:simplePos x="0" y="0"/>
                              <wp:positionH relativeFrom="column">
                                <wp:align>right</wp:align>
                              </wp:positionH>
                              <wp:positionV relativeFrom="line">
                                <wp:posOffset>0</wp:posOffset>
                              </wp:positionV>
                              <wp:extent cx="1666875" cy="1114425"/>
                              <wp:effectExtent l="0" t="0" r="9525" b="9525"/>
                              <wp:wrapSquare wrapText="bothSides"/>
                              <wp:docPr id="7" name="그림 7" descr="Locke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et-web"/>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pic:spPr>
                                  </pic:pic>
                                </a:graphicData>
                              </a:graphic>
                              <wp14:sizeRelH relativeFrom="page">
                                <wp14:pctWidth>0</wp14:pctWidth>
                              </wp14:sizeRelH>
                              <wp14:sizeRelV relativeFrom="page">
                                <wp14:pctHeight>0</wp14:pctHeight>
                              </wp14:sizeRelV>
                            </wp:anchor>
                          </w:drawing>
                        </w:r>
                        <w:r w:rsidRPr="00F87A79">
                          <w:rPr>
                            <w:rFonts w:ascii="Verdana" w:hAnsi="Verdana"/>
                            <w:color w:val="5C5C5C"/>
                            <w:sz w:val="20"/>
                            <w:szCs w:val="20"/>
                          </w:rPr>
                          <w:t>The ASTM Children’s Jewelry Safety Specification F2923–11 and the ASTM Adult Jewelry Safety Specification F2999–13 both establish requirements and test methods for specified hazardous elements in addition to other potential dangers like magnets and batteries. This application note demonstrates the power of HDXRF and its ability to screen and quantify lead, cadmium, nickel, and the remaining F963 regulated heavy elements in jewelry.</w:t>
                        </w:r>
                      </w:p>
                      <w:p w:rsidR="00F87A79" w:rsidRPr="00F87A79" w:rsidRDefault="00F87A79">
                        <w:pPr>
                          <w:spacing w:before="240" w:after="240" w:line="302" w:lineRule="auto"/>
                          <w:rPr>
                            <w:rFonts w:ascii="Verdana" w:hAnsi="Verdana"/>
                            <w:color w:val="5C5C5C"/>
                            <w:sz w:val="20"/>
                            <w:szCs w:val="20"/>
                          </w:rPr>
                        </w:pPr>
                        <w:r w:rsidRPr="00F87A79">
                          <w:rPr>
                            <w:rFonts w:ascii="Verdana" w:hAnsi="Verdana"/>
                            <w:color w:val="5C5C5C"/>
                            <w:sz w:val="20"/>
                            <w:szCs w:val="20"/>
                          </w:rPr>
                          <w:t>The specification for lead in both adult and children’s jewelry is for total lead content. All children’s jewelry materials including metal components, plastic, glass, etc., shall not exceed 100 parts per million (ppm) lead for substrates and 90 ppm for paint and other similar surface coatings with the exception of exempt materials listed in Table 2 of F2923–11, which include, but are not limited to, precious metals, wood, textiles, and precious gemstones. HDXRF has been approved by CPSC for quantification of lead in homogeneous substrates, and it’s the only CPSC-approved alternative to wet chemistry for quantification of lead in paint and similar surface coatings.</w:t>
                        </w:r>
                      </w:p>
                      <w:p w:rsidR="00F87A79" w:rsidRPr="00F87A79" w:rsidRDefault="00F87A79">
                        <w:pPr>
                          <w:spacing w:before="240" w:after="240" w:line="302" w:lineRule="auto"/>
                          <w:rPr>
                            <w:rFonts w:ascii="Verdana" w:hAnsi="Verdana"/>
                            <w:color w:val="5C5C5C"/>
                            <w:sz w:val="20"/>
                            <w:szCs w:val="20"/>
                          </w:rPr>
                        </w:pPr>
                        <w:hyperlink r:id="rId15" w:history="1">
                          <w:r w:rsidRPr="00F87A79">
                            <w:rPr>
                              <w:rStyle w:val="a4"/>
                              <w:rFonts w:ascii="Verdana" w:hAnsi="Verdana"/>
                              <w:color w:val="102D7B"/>
                              <w:sz w:val="20"/>
                              <w:szCs w:val="20"/>
                              <w:u w:val="single"/>
                            </w:rPr>
                            <w:t>Access the full Application Note (PDF)</w:t>
                          </w:r>
                          <w:r w:rsidRPr="00F87A79">
                            <w:rPr>
                              <w:rStyle w:val="a3"/>
                              <w:rFonts w:ascii="Verdana" w:hAnsi="Verdana"/>
                              <w:sz w:val="20"/>
                              <w:szCs w:val="20"/>
                            </w:rPr>
                            <w:t>.</w:t>
                          </w:r>
                        </w:hyperlink>
                      </w:p>
                      <w:p w:rsidR="00F87A79" w:rsidRPr="00F87A79" w:rsidRDefault="00F87A79">
                        <w:pPr>
                          <w:spacing w:before="240" w:after="240" w:line="302" w:lineRule="auto"/>
                          <w:rPr>
                            <w:rFonts w:ascii="Verdana" w:hAnsi="Verdana"/>
                            <w:color w:val="5C5C5C"/>
                            <w:sz w:val="20"/>
                            <w:szCs w:val="20"/>
                          </w:rPr>
                        </w:pPr>
                        <w:r w:rsidRPr="00F87A79">
                          <w:rPr>
                            <w:noProof/>
                            <w:sz w:val="20"/>
                            <w:szCs w:val="20"/>
                          </w:rPr>
                          <w:lastRenderedPageBreak/>
                          <w:drawing>
                            <wp:anchor distT="0" distB="0" distL="0" distR="0" simplePos="0" relativeHeight="251660288" behindDoc="0" locked="0" layoutInCell="1" allowOverlap="0" wp14:anchorId="0F504C25" wp14:editId="1685E0C4">
                              <wp:simplePos x="0" y="0"/>
                              <wp:positionH relativeFrom="column">
                                <wp:align>left</wp:align>
                              </wp:positionH>
                              <wp:positionV relativeFrom="line">
                                <wp:posOffset>0</wp:posOffset>
                              </wp:positionV>
                              <wp:extent cx="1847850" cy="2428875"/>
                              <wp:effectExtent l="0" t="0" r="0" b="9525"/>
                              <wp:wrapSquare wrapText="bothSides"/>
                              <wp:docPr id="6" name="그림 6" descr="Jewelry_app_note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welry_app_note_cove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47850" cy="2428875"/>
                                      </a:xfrm>
                                      <a:prstGeom prst="rect">
                                        <a:avLst/>
                                      </a:prstGeom>
                                      <a:noFill/>
                                    </pic:spPr>
                                  </pic:pic>
                                </a:graphicData>
                              </a:graphic>
                              <wp14:sizeRelH relativeFrom="page">
                                <wp14:pctWidth>0</wp14:pctWidth>
                              </wp14:sizeRelH>
                              <wp14:sizeRelV relativeFrom="page">
                                <wp14:pctHeight>0</wp14:pctHeight>
                              </wp14:sizeRelV>
                            </wp:anchor>
                          </w:drawing>
                        </w:r>
                        <w:r w:rsidRPr="00F87A79">
                          <w:rPr>
                            <w:rFonts w:ascii="Verdana" w:hAnsi="Verdana"/>
                            <w:color w:val="5C5C5C"/>
                            <w:sz w:val="20"/>
                            <w:szCs w:val="20"/>
                          </w:rPr>
                          <w:t> </w:t>
                        </w:r>
                      </w:p>
                    </w:tc>
                  </w:tr>
                </w:tbl>
                <w:p w:rsidR="00F87A79" w:rsidRDefault="00F87A79">
                  <w:pPr>
                    <w:rPr>
                      <w:rFonts w:ascii="Times New Roman" w:hAnsi="Times New Roman" w:cs="Times New Roman"/>
                      <w:sz w:val="20"/>
                      <w:szCs w:val="20"/>
                    </w:rPr>
                  </w:pPr>
                </w:p>
              </w:tc>
            </w:tr>
          </w:tbl>
          <w:p w:rsidR="00F87A79" w:rsidRDefault="00F87A79">
            <w:pPr>
              <w:rPr>
                <w:rFonts w:ascii="Times New Roman" w:hAnsi="Times New Roman" w:cs="Times New Roman"/>
                <w:sz w:val="20"/>
                <w:szCs w:val="20"/>
              </w:rPr>
            </w:pPr>
          </w:p>
        </w:tc>
      </w:tr>
      <w:tr w:rsidR="00F87A79" w:rsidTr="00F87A79">
        <w:tc>
          <w:tcPr>
            <w:tcW w:w="0" w:type="auto"/>
            <w:tcMar>
              <w:top w:w="0" w:type="dxa"/>
              <w:left w:w="360" w:type="dxa"/>
              <w:bottom w:w="240" w:type="dxa"/>
              <w:right w:w="360" w:type="dxa"/>
            </w:tcMar>
            <w:vAlign w:val="center"/>
            <w:hideMark/>
          </w:tcPr>
          <w:tbl>
            <w:tblPr>
              <w:tblW w:w="5000" w:type="pct"/>
              <w:tblCellMar>
                <w:left w:w="0" w:type="dxa"/>
                <w:right w:w="0" w:type="dxa"/>
              </w:tblCellMar>
              <w:tblLook w:val="04A0" w:firstRow="1" w:lastRow="0" w:firstColumn="1" w:lastColumn="0" w:noHBand="0" w:noVBand="1"/>
            </w:tblPr>
            <w:tblGrid>
              <w:gridCol w:w="4047"/>
              <w:gridCol w:w="257"/>
              <w:gridCol w:w="4722"/>
            </w:tblGrid>
            <w:tr w:rsidR="00F87A79" w:rsidRPr="00F87A79">
              <w:tc>
                <w:tcPr>
                  <w:tcW w:w="3360" w:type="dxa"/>
                  <w:tcBorders>
                    <w:top w:val="single" w:sz="8" w:space="0" w:color="F2F2F2"/>
                    <w:left w:val="nil"/>
                    <w:bottom w:val="nil"/>
                    <w:right w:val="nil"/>
                  </w:tcBorders>
                  <w:tcMar>
                    <w:top w:w="300" w:type="dxa"/>
                    <w:left w:w="0" w:type="dxa"/>
                    <w:bottom w:w="84" w:type="dxa"/>
                    <w:right w:w="0" w:type="dxa"/>
                  </w:tcMar>
                  <w:hideMark/>
                </w:tcPr>
                <w:p w:rsidR="00F87A79" w:rsidRPr="00F87A79" w:rsidRDefault="00F87A79">
                  <w:pPr>
                    <w:spacing w:line="264" w:lineRule="auto"/>
                    <w:rPr>
                      <w:rFonts w:ascii="Verdana" w:hAnsi="Verdana"/>
                      <w:color w:val="3574E3"/>
                      <w:sz w:val="20"/>
                      <w:szCs w:val="20"/>
                    </w:rPr>
                  </w:pPr>
                  <w:r w:rsidRPr="00F87A79">
                    <w:rPr>
                      <w:rFonts w:ascii="Verdana" w:hAnsi="Verdana"/>
                      <w:color w:val="3574E3"/>
                      <w:sz w:val="20"/>
                      <w:szCs w:val="20"/>
                    </w:rPr>
                    <w:lastRenderedPageBreak/>
                    <w:t>HDXRF: Measuring Coatings on Thin Samples</w:t>
                  </w:r>
                </w:p>
              </w:tc>
              <w:tc>
                <w:tcPr>
                  <w:tcW w:w="240" w:type="dxa"/>
                  <w:tcBorders>
                    <w:top w:val="single" w:sz="8" w:space="0" w:color="F2F2F2"/>
                    <w:left w:val="nil"/>
                    <w:bottom w:val="nil"/>
                    <w:right w:val="nil"/>
                  </w:tcBorders>
                  <w:vAlign w:val="center"/>
                  <w:hideMark/>
                </w:tcPr>
                <w:p w:rsidR="00F87A79" w:rsidRPr="00F87A79" w:rsidRDefault="00F87A79">
                  <w:pPr>
                    <w:rPr>
                      <w:rFonts w:ascii="Times New Roman" w:hAnsi="Times New Roman" w:cs="Times New Roman"/>
                      <w:sz w:val="20"/>
                      <w:szCs w:val="20"/>
                    </w:rPr>
                  </w:pPr>
                </w:p>
              </w:tc>
              <w:tc>
                <w:tcPr>
                  <w:tcW w:w="3360" w:type="dxa"/>
                  <w:tcBorders>
                    <w:top w:val="single" w:sz="8" w:space="0" w:color="F2F2F2"/>
                    <w:left w:val="nil"/>
                    <w:bottom w:val="nil"/>
                    <w:right w:val="nil"/>
                  </w:tcBorders>
                  <w:tcMar>
                    <w:top w:w="300" w:type="dxa"/>
                    <w:left w:w="0" w:type="dxa"/>
                    <w:bottom w:w="84" w:type="dxa"/>
                    <w:right w:w="0" w:type="dxa"/>
                  </w:tcMar>
                  <w:hideMark/>
                </w:tcPr>
                <w:p w:rsidR="00F87A79" w:rsidRPr="00F87A79" w:rsidRDefault="00F87A79">
                  <w:pPr>
                    <w:spacing w:line="264" w:lineRule="auto"/>
                    <w:rPr>
                      <w:rFonts w:ascii="Verdana" w:hAnsi="Verdana"/>
                      <w:color w:val="3574E3"/>
                      <w:sz w:val="20"/>
                      <w:szCs w:val="20"/>
                    </w:rPr>
                  </w:pPr>
                  <w:r w:rsidRPr="00F87A79">
                    <w:rPr>
                      <w:rFonts w:ascii="Verdana" w:hAnsi="Verdana"/>
                      <w:color w:val="3574E3"/>
                      <w:sz w:val="20"/>
                      <w:szCs w:val="20"/>
                    </w:rPr>
                    <w:t>EN71-3 Compliance Screening with HDXRF</w:t>
                  </w:r>
                </w:p>
              </w:tc>
            </w:tr>
            <w:tr w:rsidR="00F87A79" w:rsidRPr="00F87A79">
              <w:tc>
                <w:tcPr>
                  <w:tcW w:w="3360" w:type="dxa"/>
                  <w:hideMark/>
                </w:tcPr>
                <w:p w:rsidR="00F87A79" w:rsidRPr="00F87A79" w:rsidRDefault="00F87A79">
                  <w:pPr>
                    <w:spacing w:line="350" w:lineRule="auto"/>
                    <w:rPr>
                      <w:rFonts w:ascii="Verdana" w:hAnsi="Verdana"/>
                      <w:color w:val="5C5C5C"/>
                      <w:sz w:val="20"/>
                      <w:szCs w:val="20"/>
                    </w:rPr>
                  </w:pPr>
                  <w:r w:rsidRPr="00F87A79">
                    <w:rPr>
                      <w:rFonts w:ascii="Verdana" w:hAnsi="Verdana"/>
                      <w:noProof/>
                      <w:color w:val="5C5C5C"/>
                      <w:sz w:val="20"/>
                      <w:szCs w:val="20"/>
                    </w:rPr>
                    <w:drawing>
                      <wp:inline distT="0" distB="0" distL="0" distR="0" wp14:anchorId="5F23AABF" wp14:editId="765A41F7">
                        <wp:extent cx="2390775" cy="1581150"/>
                        <wp:effectExtent l="0" t="0" r="9525" b="0"/>
                        <wp:docPr id="2" name="그림 2" descr="Thin_Coated_Sample_X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n_Coated_Sample_XR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1581150"/>
                                </a:xfrm>
                                <a:prstGeom prst="rect">
                                  <a:avLst/>
                                </a:prstGeom>
                                <a:noFill/>
                                <a:ln>
                                  <a:noFill/>
                                </a:ln>
                              </pic:spPr>
                            </pic:pic>
                          </a:graphicData>
                        </a:graphic>
                      </wp:inline>
                    </w:drawing>
                  </w:r>
                </w:p>
                <w:p w:rsidR="00F87A79" w:rsidRPr="00F87A79" w:rsidRDefault="00F87A79">
                  <w:pPr>
                    <w:spacing w:before="240" w:after="240" w:line="350" w:lineRule="auto"/>
                    <w:rPr>
                      <w:rFonts w:ascii="Verdana" w:hAnsi="Verdana"/>
                      <w:color w:val="5C5C5C"/>
                      <w:sz w:val="20"/>
                      <w:szCs w:val="20"/>
                    </w:rPr>
                  </w:pPr>
                  <w:r w:rsidRPr="00F87A79">
                    <w:rPr>
                      <w:rFonts w:ascii="Verdana" w:hAnsi="Verdana"/>
                      <w:color w:val="5C5C5C"/>
                      <w:sz w:val="20"/>
                      <w:szCs w:val="20"/>
                    </w:rPr>
                    <w:t>When performing any analytical technique, adherence to correct procedure and sample preparation are critical. This brief application note summarizes the correct technique by which to measure coatings on thin samples, such as screen print on textiles, decals, and stickers,</w:t>
                  </w:r>
                  <w:proofErr w:type="gramStart"/>
                  <w:r w:rsidRPr="00F87A79">
                    <w:rPr>
                      <w:rFonts w:ascii="Verdana" w:hAnsi="Verdana"/>
                      <w:color w:val="5C5C5C"/>
                      <w:sz w:val="20"/>
                      <w:szCs w:val="20"/>
                    </w:rPr>
                    <w:t>  using</w:t>
                  </w:r>
                  <w:proofErr w:type="gramEnd"/>
                  <w:r w:rsidRPr="00F87A79">
                    <w:rPr>
                      <w:rFonts w:ascii="Verdana" w:hAnsi="Verdana"/>
                      <w:color w:val="5C5C5C"/>
                      <w:sz w:val="20"/>
                      <w:szCs w:val="20"/>
                    </w:rPr>
                    <w:t xml:space="preserve"> the HD Prime or HD Mobile analyzer powered by HDXRF® technology.</w:t>
                  </w:r>
                </w:p>
                <w:p w:rsidR="00F87A79" w:rsidRPr="00F87A79" w:rsidRDefault="00F87A79">
                  <w:pPr>
                    <w:spacing w:before="240" w:after="240" w:line="350" w:lineRule="auto"/>
                    <w:rPr>
                      <w:rFonts w:ascii="Verdana" w:hAnsi="Verdana"/>
                      <w:color w:val="5C5C5C"/>
                      <w:sz w:val="20"/>
                      <w:szCs w:val="20"/>
                    </w:rPr>
                  </w:pPr>
                  <w:hyperlink r:id="rId18" w:history="1">
                    <w:r w:rsidRPr="00F87A79">
                      <w:rPr>
                        <w:rStyle w:val="a3"/>
                        <w:rFonts w:ascii="Verdana" w:hAnsi="Verdana"/>
                        <w:b/>
                        <w:bCs/>
                        <w:sz w:val="20"/>
                        <w:szCs w:val="20"/>
                      </w:rPr>
                      <w:t xml:space="preserve">Access the full Application Note </w:t>
                    </w:r>
                    <w:r w:rsidRPr="00F87A79">
                      <w:rPr>
                        <w:rStyle w:val="a3"/>
                        <w:rFonts w:ascii="Verdana" w:hAnsi="Verdana"/>
                        <w:b/>
                        <w:bCs/>
                        <w:sz w:val="20"/>
                        <w:szCs w:val="20"/>
                      </w:rPr>
                      <w:t>(</w:t>
                    </w:r>
                    <w:r w:rsidRPr="00F87A79">
                      <w:rPr>
                        <w:rStyle w:val="a3"/>
                        <w:rFonts w:ascii="Verdana" w:hAnsi="Verdana"/>
                        <w:b/>
                        <w:bCs/>
                        <w:sz w:val="20"/>
                        <w:szCs w:val="20"/>
                      </w:rPr>
                      <w:t>PDF).</w:t>
                    </w:r>
                  </w:hyperlink>
                </w:p>
              </w:tc>
              <w:tc>
                <w:tcPr>
                  <w:tcW w:w="240" w:type="dxa"/>
                  <w:vAlign w:val="center"/>
                  <w:hideMark/>
                </w:tcPr>
                <w:p w:rsidR="00F87A79" w:rsidRPr="00F87A79" w:rsidRDefault="00F87A79">
                  <w:pPr>
                    <w:rPr>
                      <w:rFonts w:ascii="Times New Roman" w:hAnsi="Times New Roman" w:cs="Times New Roman"/>
                      <w:sz w:val="20"/>
                      <w:szCs w:val="20"/>
                    </w:rPr>
                  </w:pPr>
                </w:p>
              </w:tc>
              <w:tc>
                <w:tcPr>
                  <w:tcW w:w="3360" w:type="dxa"/>
                  <w:hideMark/>
                </w:tcPr>
                <w:p w:rsidR="00F87A79" w:rsidRPr="00F87A79" w:rsidRDefault="00F87A79">
                  <w:pPr>
                    <w:spacing w:line="350" w:lineRule="auto"/>
                    <w:rPr>
                      <w:rFonts w:ascii="Verdana" w:hAnsi="Verdana"/>
                      <w:color w:val="5C5C5C"/>
                      <w:sz w:val="20"/>
                      <w:szCs w:val="20"/>
                    </w:rPr>
                  </w:pPr>
                  <w:r w:rsidRPr="00F87A79">
                    <w:rPr>
                      <w:rFonts w:ascii="Verdana" w:hAnsi="Verdana"/>
                      <w:noProof/>
                      <w:color w:val="5C5C5C"/>
                      <w:sz w:val="20"/>
                      <w:szCs w:val="20"/>
                    </w:rPr>
                    <w:drawing>
                      <wp:inline distT="0" distB="0" distL="0" distR="0" wp14:anchorId="7FA1A619" wp14:editId="776E1992">
                        <wp:extent cx="2800350" cy="1114425"/>
                        <wp:effectExtent l="0" t="0" r="0" b="9525"/>
                        <wp:docPr id="1" name="그림 1" descr="Toy_Train_HDX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y_Train_HDXR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1114425"/>
                                </a:xfrm>
                                <a:prstGeom prst="rect">
                                  <a:avLst/>
                                </a:prstGeom>
                                <a:noFill/>
                                <a:ln>
                                  <a:noFill/>
                                </a:ln>
                              </pic:spPr>
                            </pic:pic>
                          </a:graphicData>
                        </a:graphic>
                      </wp:inline>
                    </w:drawing>
                  </w:r>
                </w:p>
                <w:p w:rsidR="00F87A79" w:rsidRPr="00F87A79" w:rsidRDefault="00F87A79">
                  <w:pPr>
                    <w:spacing w:before="240" w:after="240" w:line="350" w:lineRule="auto"/>
                    <w:rPr>
                      <w:rFonts w:ascii="Verdana" w:hAnsi="Verdana"/>
                      <w:color w:val="5C5C5C"/>
                      <w:sz w:val="20"/>
                      <w:szCs w:val="20"/>
                    </w:rPr>
                  </w:pPr>
                  <w:r w:rsidRPr="00F87A79">
                    <w:rPr>
                      <w:rFonts w:ascii="Verdana" w:hAnsi="Verdana"/>
                      <w:color w:val="5C5C5C"/>
                      <w:sz w:val="20"/>
                      <w:szCs w:val="20"/>
                    </w:rPr>
                    <w:t>HDXRF offers extremely low limits of detection, outperforming traditional XRF technology and helping meet the EU Directive 2009/48/EC, commonly referred to as the Toy Safety Directive.</w:t>
                  </w:r>
                </w:p>
                <w:p w:rsidR="00F87A79" w:rsidRPr="00F87A79" w:rsidRDefault="00F87A79">
                  <w:pPr>
                    <w:spacing w:before="240" w:after="240" w:line="350" w:lineRule="auto"/>
                    <w:rPr>
                      <w:rFonts w:ascii="Verdana" w:hAnsi="Verdana"/>
                      <w:color w:val="5C5C5C"/>
                      <w:sz w:val="20"/>
                      <w:szCs w:val="20"/>
                    </w:rPr>
                  </w:pPr>
                  <w:hyperlink r:id="rId20" w:history="1">
                    <w:r w:rsidRPr="00F87A79">
                      <w:rPr>
                        <w:rStyle w:val="a4"/>
                        <w:rFonts w:ascii="Verdana" w:hAnsi="Verdana"/>
                        <w:color w:val="102D7B"/>
                        <w:sz w:val="20"/>
                        <w:szCs w:val="20"/>
                        <w:u w:val="single"/>
                      </w:rPr>
                      <w:t>Access the full XOS</w:t>
                    </w:r>
                    <w:r w:rsidRPr="00F87A79">
                      <w:rPr>
                        <w:rStyle w:val="a4"/>
                        <w:rFonts w:ascii="Verdana" w:hAnsi="Verdana"/>
                        <w:color w:val="102D7B"/>
                        <w:sz w:val="20"/>
                        <w:szCs w:val="20"/>
                        <w:u w:val="single"/>
                      </w:rPr>
                      <w:t xml:space="preserve"> </w:t>
                    </w:r>
                    <w:r w:rsidRPr="00F87A79">
                      <w:rPr>
                        <w:rStyle w:val="a4"/>
                        <w:rFonts w:ascii="Verdana" w:hAnsi="Verdana"/>
                        <w:color w:val="102D7B"/>
                        <w:sz w:val="20"/>
                        <w:szCs w:val="20"/>
                        <w:u w:val="single"/>
                      </w:rPr>
                      <w:t>handout (PDF)</w:t>
                    </w:r>
                  </w:hyperlink>
                  <w:r w:rsidRPr="00F87A79">
                    <w:rPr>
                      <w:rFonts w:ascii="Verdana" w:hAnsi="Verdana"/>
                      <w:color w:val="5C5C5C"/>
                      <w:sz w:val="20"/>
                      <w:szCs w:val="20"/>
                    </w:rPr>
                    <w:t>.</w:t>
                  </w:r>
                </w:p>
              </w:tc>
            </w:tr>
          </w:tbl>
          <w:p w:rsidR="00F87A79" w:rsidRDefault="00F87A79">
            <w:pPr>
              <w:rPr>
                <w:rFonts w:ascii="Times New Roman" w:hAnsi="Times New Roman" w:cs="Times New Roman"/>
                <w:sz w:val="20"/>
                <w:szCs w:val="20"/>
              </w:rPr>
            </w:pPr>
          </w:p>
        </w:tc>
        <w:bookmarkStart w:id="0" w:name="_GoBack"/>
        <w:bookmarkEnd w:id="0"/>
      </w:tr>
    </w:tbl>
    <w:p w:rsidR="009A2396" w:rsidRPr="00F87A79" w:rsidRDefault="009A2396"/>
    <w:sectPr w:rsidR="009A2396" w:rsidRPr="00F87A7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79"/>
    <w:rsid w:val="009A2396"/>
    <w:rsid w:val="00F87A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79"/>
    <w:pPr>
      <w:spacing w:after="0" w:line="240" w:lineRule="auto"/>
      <w:jc w:val="left"/>
    </w:pPr>
    <w:rPr>
      <w:rFonts w:ascii="굴림" w:eastAsia="굴림" w:hAnsi="굴림" w:cs="굴림"/>
      <w:kern w:val="0"/>
      <w:sz w:val="24"/>
      <w:szCs w:val="24"/>
    </w:rPr>
  </w:style>
  <w:style w:type="paragraph" w:styleId="1">
    <w:name w:val="heading 1"/>
    <w:basedOn w:val="a"/>
    <w:link w:val="1Char"/>
    <w:uiPriority w:val="9"/>
    <w:qFormat/>
    <w:rsid w:val="00F87A79"/>
    <w:pPr>
      <w:spacing w:before="100" w:beforeAutospacing="1" w:after="100" w:afterAutospacing="1"/>
      <w:outlineLvl w:val="0"/>
    </w:pPr>
    <w:rPr>
      <w:b/>
      <w:bCs/>
      <w:color w:val="3574E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87A79"/>
    <w:rPr>
      <w:rFonts w:ascii="굴림" w:eastAsia="굴림" w:hAnsi="굴림" w:cs="굴림"/>
      <w:b/>
      <w:bCs/>
      <w:color w:val="3574E3"/>
      <w:kern w:val="36"/>
      <w:sz w:val="48"/>
      <w:szCs w:val="48"/>
    </w:rPr>
  </w:style>
  <w:style w:type="character" w:styleId="a3">
    <w:name w:val="Hyperlink"/>
    <w:basedOn w:val="a0"/>
    <w:uiPriority w:val="99"/>
    <w:semiHidden/>
    <w:unhideWhenUsed/>
    <w:rsid w:val="00F87A79"/>
    <w:rPr>
      <w:color w:val="102D7B"/>
      <w:u w:val="single"/>
    </w:rPr>
  </w:style>
  <w:style w:type="character" w:styleId="a4">
    <w:name w:val="Strong"/>
    <w:basedOn w:val="a0"/>
    <w:uiPriority w:val="22"/>
    <w:qFormat/>
    <w:rsid w:val="00F87A79"/>
    <w:rPr>
      <w:b/>
      <w:bCs/>
    </w:rPr>
  </w:style>
  <w:style w:type="paragraph" w:styleId="a5">
    <w:name w:val="Balloon Text"/>
    <w:basedOn w:val="a"/>
    <w:link w:val="Char"/>
    <w:uiPriority w:val="99"/>
    <w:semiHidden/>
    <w:unhideWhenUsed/>
    <w:rsid w:val="00F87A79"/>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87A79"/>
    <w:rPr>
      <w:rFonts w:asciiTheme="majorHAnsi" w:eastAsiaTheme="majorEastAsia" w:hAnsiTheme="majorHAnsi" w:cstheme="majorBidi"/>
      <w:kern w:val="0"/>
      <w:sz w:val="18"/>
      <w:szCs w:val="18"/>
    </w:rPr>
  </w:style>
  <w:style w:type="character" w:styleId="a6">
    <w:name w:val="FollowedHyperlink"/>
    <w:basedOn w:val="a0"/>
    <w:uiPriority w:val="99"/>
    <w:semiHidden/>
    <w:unhideWhenUsed/>
    <w:rsid w:val="00F87A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79"/>
    <w:pPr>
      <w:spacing w:after="0" w:line="240" w:lineRule="auto"/>
      <w:jc w:val="left"/>
    </w:pPr>
    <w:rPr>
      <w:rFonts w:ascii="굴림" w:eastAsia="굴림" w:hAnsi="굴림" w:cs="굴림"/>
      <w:kern w:val="0"/>
      <w:sz w:val="24"/>
      <w:szCs w:val="24"/>
    </w:rPr>
  </w:style>
  <w:style w:type="paragraph" w:styleId="1">
    <w:name w:val="heading 1"/>
    <w:basedOn w:val="a"/>
    <w:link w:val="1Char"/>
    <w:uiPriority w:val="9"/>
    <w:qFormat/>
    <w:rsid w:val="00F87A79"/>
    <w:pPr>
      <w:spacing w:before="100" w:beforeAutospacing="1" w:after="100" w:afterAutospacing="1"/>
      <w:outlineLvl w:val="0"/>
    </w:pPr>
    <w:rPr>
      <w:b/>
      <w:bCs/>
      <w:color w:val="3574E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87A79"/>
    <w:rPr>
      <w:rFonts w:ascii="굴림" w:eastAsia="굴림" w:hAnsi="굴림" w:cs="굴림"/>
      <w:b/>
      <w:bCs/>
      <w:color w:val="3574E3"/>
      <w:kern w:val="36"/>
      <w:sz w:val="48"/>
      <w:szCs w:val="48"/>
    </w:rPr>
  </w:style>
  <w:style w:type="character" w:styleId="a3">
    <w:name w:val="Hyperlink"/>
    <w:basedOn w:val="a0"/>
    <w:uiPriority w:val="99"/>
    <w:semiHidden/>
    <w:unhideWhenUsed/>
    <w:rsid w:val="00F87A79"/>
    <w:rPr>
      <w:color w:val="102D7B"/>
      <w:u w:val="single"/>
    </w:rPr>
  </w:style>
  <w:style w:type="character" w:styleId="a4">
    <w:name w:val="Strong"/>
    <w:basedOn w:val="a0"/>
    <w:uiPriority w:val="22"/>
    <w:qFormat/>
    <w:rsid w:val="00F87A79"/>
    <w:rPr>
      <w:b/>
      <w:bCs/>
    </w:rPr>
  </w:style>
  <w:style w:type="paragraph" w:styleId="a5">
    <w:name w:val="Balloon Text"/>
    <w:basedOn w:val="a"/>
    <w:link w:val="Char"/>
    <w:uiPriority w:val="99"/>
    <w:semiHidden/>
    <w:unhideWhenUsed/>
    <w:rsid w:val="00F87A79"/>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87A79"/>
    <w:rPr>
      <w:rFonts w:asciiTheme="majorHAnsi" w:eastAsiaTheme="majorEastAsia" w:hAnsiTheme="majorHAnsi" w:cstheme="majorBidi"/>
      <w:kern w:val="0"/>
      <w:sz w:val="18"/>
      <w:szCs w:val="18"/>
    </w:rPr>
  </w:style>
  <w:style w:type="character" w:styleId="a6">
    <w:name w:val="FollowedHyperlink"/>
    <w:basedOn w:val="a0"/>
    <w:uiPriority w:val="99"/>
    <w:semiHidden/>
    <w:unhideWhenUsed/>
    <w:rsid w:val="00F87A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hsms10.com/e1t/c/*W4pbkgz4WRDGGW6JtbXg2LbFKz0/*W3hD2HJ6XDjlzW2mQSNs8TXbcH0/5/f18dQhb0SmhZ8XJ9fqW7KWyw32qwv27W31SYhN3225wrMf5dGYXD6prW39Dr-N8pCDLQW7lDYRy96fd7GW8yGHJ34rz4C_W6bp1cw992nrWN5CR161PnfXVVcNnNL6PVJWyW625bx16Gj8TSW6bVy-525hvjFVHZ5KN5D8zFFW5m3ZD658vKqSW1nq9rQ18dKPTW1VJwxb7WmcjJW97rB1b8yg4ByW64ZhsJ34pYjHW4swWqv22GxR7N3dQnfDTjCBkW4TCyfM10rkfVW3j6HXH4VCQ9tW8rC0dy94S5ZQN5sry09NDB7wW4XR5fF5BkGCWN1pF9S2VpQDjW1qqGp0992-K5N3NpYQnSlK68VdSNwx7wTZy2W9jW9nN8csGDVVD2JBL7354BZW5MXD3v5yNPHpW3vBMFH3gf1VkW5L1tSq19rc8kW7prCyc4NQMFZW8KrN5W1vhphNW8wfhgm1_MC7NW6MtYR6656gnWW1F0b031FQ06-0" TargetMode="External"/><Relationship Id="rId18" Type="http://schemas.openxmlformats.org/officeDocument/2006/relationships/hyperlink" Target="http://t.hsms10.com/e1t/c/*W4pbkgz4WRDGGW6JtbXg2LbFKz0/*W8JM6915vR1WHW68nvLG4Qd_4B0/5/f18dQhb0S8358XJ9TCW7KWyw32qwv27W31SYhN3225wrMf5w3qXD6prW39Dr_73S_lz1W7cFs0t7cFLQQW6PZb2y5CRfSZW51LTdD6b-LdDW1nrCGw96zRPSW6bT6L38RRjRDW5Ckvpl6vYDb4W7v70tS4RYYVxW3s1XjF51FX0QW8gZKWp94q7cqW6VKJl21hC_8gW5lppHt5gWpTcW7BrrYW1VcfkXW7sdP8Y2w1Bv4W43zxRv8g8RhNW7j21N63-wbGtW44856H3HdhsLW6hFw0W550bk6N12fSnVsJtKnW6Wjj7g5qmnXlW4FT4bw4Pg2XtVNb7JP85mL72W4qvxKw2XBfkTW3qY36q4NqFndMVzQv-Vn7DDW1FdLwH6xlwNWW8X4cD08WxMwDW1Vcd0r6Dbj8sW7mt3V-82R1kKW8BFxG95JdYh8W3-XkCz8QfQRkW3PWG2q6nPTJZW6ytD8s6krJsR1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xos.com" TargetMode="External"/><Relationship Id="rId12" Type="http://schemas.openxmlformats.org/officeDocument/2006/relationships/hyperlink" Target="http://t.hsms10.com/e1t/c/*W4pbkgz4WRDGGW6JtbXg2LbFKz0/*W2xd9NS96X3gFW3WjL8S7vVGr20/5/f18dQhb0S8388YXMXYW7KWyw32qwv27W31SYhN3225wrMf5jxxXD6prW39Dr-N8pCDJGW96sdlf5Cqws9W4vgKM1999f65W6PVJWy625bx1W6Gj8TS6bVy-5N25hvjFHZ5KNW5D8zFF5m3ZGGW96dt4S4r1QvYVDPqsR8gjY6LW8WBKbV56sy_8W2NhXFJ1S9n_xVJM-P14QJ0Q2W1S6jQt6YGLGqN1ftM8Zpjn_gW31M9P25l8zj4W8k8c4B4c-vxfW7p1Ms513JDYYW8T6D4C6XjbFMW7rCmS94bwk1wW7v0wW71hJpF5W5n6QBL12g2D-W3pp1Lf1hZjZLN4lBZ6FnpF8MW1Q68w61MMh8vW3gtt1l3JBBdMW8r4rk28r-2KbW3Mqbk53shXF8W5hfQL48pg0qxW74s4tp91NCMSVN79BX8Z8SP5W10TP0X82PJCZW7L5Tpl7r2nvkdSn_2W04"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http://cdn2.hubspot.net/hub/210162/file-2395280533-jpg/H+S_Images_(New)/Jewelry_app_note_cover.jpg?t=1422473021313" TargetMode="External"/><Relationship Id="rId20" Type="http://schemas.openxmlformats.org/officeDocument/2006/relationships/hyperlink" Target="http://t.hsms10.com/e1t/c/*W4pbkgz4WRDGGW6JtbXg2LbFKz0/*W6L_kjg9lDsfrVbjn0h4Vgndk0/5/f18dQhb0S8348XJ8hgW7KWyw32qwv27W31SYhN3225wrMf5wNlXD6prW39Dr_73S_lz1W7cFs0t7cFLQQW6PZpH58qSS2fW1nrCGw96zRPSW6bT6L38RRjRDW5Ckvpl6vYDb4W7v70tS4RYYVxW3s1XjF51G0BFW4Z09Tj57-WqMW3H_Pty2DzCtRW1zB6B966TDjwW2W9qhp2kGvT0VDkffS5SZ3-8MncJbZqVbTzW2m2rzd7W6X3RW77ZCqh88nQlmW1hl15232fC1XW8k1b3v6s0_cyVGXnqs5Rhb6qN1sK4dF4QDYxW2qDnh588ZFCVW32wdQb8P1_V7W6Pc2MC9lvLdpW6s16_28Ph58-W59Bv7s7n80-YW2GFmJy7lc4CYW2Sw2v56Yy-hTW19rc8k7prCycW4NQMFZ8KrN5WW1vhphN8wfhgmW1_MC7N6MtYR6W656gnW8xf5gkf1f4_BY0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hsms10.com/e1t/c/*W4pbkgz4WRDGGW6JtbXg2LbFKz0/*VXhlfQ6CnWQxMK9w2qb5l9z0/5/f18dQhb0SmhR8XJbXvW7KWyw32qwv27W31SYhN3225wrMf5qSTXD6prW39Dr-N8pCDJmW96RdFf96Ls81W6cc-6T6bdFWkW1nxD8k6b0-bSW50SW5n90G7thW8S23M92yJF1WVYT2jk6P4lCXW3Vpx8-7NrMZsW3ndm6j49WVsfW2ZbRxN44YXpCW6G2lbz7NMdQNV4cNXy75WRHJW7s9ftk91Jr_fW85C5xr5RHvVDVTp91y7tFtLgW7LWn5J5mjFClW5T172l4QtWBTW3vLDyF5rkHWwW2CD0Qg82kCttW4-WHpg1Fs2TmW5RXQhJ85bqfSW2bJgKz5n5YddW30xGW-8Gw8jHW91m9XT5gSHY5W6H5NXC6hz0s8W2bzNQY5ZZH6sN6xBB0TJpjSrN6y4D9sJVLpMVY3vM81Ngx1cW51bGqV6s0vQ1W4Vn60h1RLGtYW29mpMF6wjRWtW1kVLHm6SP8K2V14xqm7zPGCH103" TargetMode="External"/><Relationship Id="rId5" Type="http://schemas.openxmlformats.org/officeDocument/2006/relationships/hyperlink" Target="http://t.hsms10.com/e1t/c/*W4pbkgz4WRDGGW6JtbXg2LbFKz0/*W8y6CZG5Y2Ws_W7mf6Dp2lFFtQ0/5/f18dQhb0S5fl8XJbXvW7KWyw32qwv27W31SYhN3225wrMf5tjCXD6prW39Dr-N8pCDJmW96RdFf96Ls5VW2z3pz_7lVy74W3V568P7cMRtGW1n8xK_4r3tLbW6P1rCs7b9JZ6W4CB5ys83_Pn-W7JCxGl81bhDKW7N_KqM11GBXTW41TlcR3TwTq-W4JcrRb24ZF-xW1ZY5-P6t7RlyW3jxWlJ3VVkFJW4LG55J3yZDDxW2yk4Tg3jkhllW51glxL4q6dFFW5YZRp841W_2wW5Pv5Mm516RCcW2B7Wtj5hzJXTW3zgzpc2DgKjVW3K7gdQ4kt-XQW3JZ-9G4LV9C9W2DmJRS5x-4LBW6b3kdd4_BqDxW45Xf0N3FgKmJW6vF_XC7k-2C-W3m2q-d1zW062VzD-dg1t0ws5W6kbt2x7b9x75W8GC4Kj7bjdlKN7fWr58sjV00W5XTzy11D_KhnW8fGJW156fmVSW5bqnhS3-CjMKW51wMft42L5ZcV11b-03j1jXY103" TargetMode="External"/><Relationship Id="rId15" Type="http://schemas.openxmlformats.org/officeDocument/2006/relationships/hyperlink" Target="http://t.hsms10.com/e1t/c/*W4pbkgz4WRDGGW6JtbXg2LbFKz0/*W27nXD887n5k-W6xjqX_6bwTPk0/5/f18dQhb0S8378YXNgWW7KWyw32qwv27W31SYhN3225wrMf5f0WXD6prW39Dr_73S_lz1W7cFs0t7cFLQQW6PZgGL8p7yxkW5tW3gp6PVJWyW625bx16Gj8TSW6bVy-525hvjFVHZ5KN5D8zFFW5m3ZGG96dt4SW4r1QvY1PXWzMW8gjY6L8WBKbVW56sy_82NhXFJW8X4QL77Kq0ygW4gnzH35LM9byW3n_90r2dYfB4W2tc78B1Cc_XDW57LVcy4N4dQQW1FbCfg1zB031W1RMT8Q8S_McGN8grB4VtyWkpW6ypFzh4fw_KZN2QZ1vwnQ5yZVrzZLJ7s287tW1RXYgf4lBZ6FVnpqXY1Q68w6W1MMh8v3gtt1lW3JBBdM8r4rk2W8r-2Kb3Mqs3RW3_bPqH5mRgWyW6Mx9P17PbG0wW1_pTM47XT5PHW8crclQ7yRMHnW3nwk633LSNWHf3FXBbb11" TargetMode="External"/><Relationship Id="rId10" Type="http://schemas.openxmlformats.org/officeDocument/2006/relationships/hyperlink" Target="http://t.hsms10.com/e1t/c/*W4pbkgz4WRDGGW6JtbXg2LbFKz0/*W2mQRY91r-7fzW8G08bn7KR35h0/5/f18dQhb0SmhS8XJ9TCW7KWyw32qwv27W31SYhN3225wrMf5p52XD6prW39Dr-N8pCDJmW96RdFf96Ls81W6cc-6T6bdFWkW1nxD492z3pz_W7lVx695CbYpZW7d78J490G7thW8S23M92yJF1WVYT2jk6P4lCXW3Vpx8-7NrMZsW3ndqZK6gF7LRN4Dk-X28CndHMz74JcYSX-5W7m_B1R5c8d-SW377W2J4FbYLVMRs50S2gM2yW8RkMmL3MtwTSW8Sfm0p2p1Z-YN5j7zxSP5657W4q-LDh3B5wFNW7yB2mH5BXLP1VfmlBB3LwKcdVGcFrB5tqR89W8Lgvkm8nzwsvW1psXHS2TryMfW2yh--D1qNPBXW49kJ936fVLYvW1Q68w61MMh8vW3gtt1l3JBBdMW8r4rk28r-2KbW3MqmQh1zlX53W7gYswV4H3Y0tW8LMy9387BrcbW6w4y-J4xfP3vW3KqGR_9k05tGW5DTd334_LL69102"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http://cdn2.hubspot.net/hub/210162/file-1616070288-jpg/Locket-web.jpg?t=1422473021313"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983</Words>
  <Characters>5606</Characters>
  <Application>Microsoft Office Word</Application>
  <DocSecurity>0</DocSecurity>
  <Lines>46</Lines>
  <Paragraphs>13</Paragraphs>
  <ScaleCrop>false</ScaleCrop>
  <Company>Hewlett-Packard Company</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hkpark</dc:creator>
  <cp:lastModifiedBy>hkpark</cp:lastModifiedBy>
  <cp:revision>1</cp:revision>
  <dcterms:created xsi:type="dcterms:W3CDTF">2015-01-30T00:26:00Z</dcterms:created>
  <dcterms:modified xsi:type="dcterms:W3CDTF">2015-01-30T00:31:00Z</dcterms:modified>
</cp:coreProperties>
</file>